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F" w:rsidRDefault="006902EF" w:rsidP="006902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</w:rPr>
      </w:pPr>
      <w:bookmarkStart w:id="0" w:name="_GoBack"/>
      <w:bookmarkEnd w:id="0"/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3378200" cy="2533650"/>
            <wp:effectExtent l="0" t="0" r="0" b="0"/>
            <wp:docPr id="1" name="Resim 1" descr="Tıp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Tıp Fakültesi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EF" w:rsidRDefault="006902EF" w:rsidP="006902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</w:rPr>
      </w:pPr>
    </w:p>
    <w:p w:rsidR="006902EF" w:rsidRDefault="006902EF" w:rsidP="006902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</w:rPr>
      </w:pPr>
    </w:p>
    <w:p w:rsidR="006902EF" w:rsidRDefault="006902EF" w:rsidP="006902EF">
      <w:pPr>
        <w:pStyle w:val="GvdeMetni"/>
        <w:spacing w:before="34"/>
        <w:ind w:left="2751" w:right="279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T.C.</w:t>
      </w:r>
    </w:p>
    <w:p w:rsidR="006902EF" w:rsidRDefault="006902EF" w:rsidP="006902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BOLU ABANT İZZET BAYSAL ÜNİVERSİTESİ</w:t>
      </w:r>
    </w:p>
    <w:p w:rsidR="006902EF" w:rsidRDefault="006902EF" w:rsidP="006902EF">
      <w:pPr>
        <w:pStyle w:val="GvdeMetni"/>
        <w:ind w:left="2751" w:right="279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 FAKÜLTESİ </w:t>
      </w:r>
    </w:p>
    <w:p w:rsidR="006902EF" w:rsidRDefault="00525695" w:rsidP="006902EF">
      <w:pPr>
        <w:pStyle w:val="GvdeMetni"/>
        <w:ind w:left="2751" w:right="279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GÖĞÜS </w:t>
      </w:r>
      <w:proofErr w:type="gramStart"/>
      <w:r>
        <w:rPr>
          <w:rFonts w:ascii="Times New Roman" w:hAnsi="Times New Roman"/>
          <w:sz w:val="22"/>
          <w:szCs w:val="22"/>
        </w:rPr>
        <w:t xml:space="preserve">HASTALIKLARI </w:t>
      </w:r>
      <w:r w:rsidR="006902EF">
        <w:rPr>
          <w:rFonts w:ascii="Times New Roman" w:hAnsi="Times New Roman"/>
          <w:sz w:val="22"/>
          <w:szCs w:val="22"/>
        </w:rPr>
        <w:t xml:space="preserve"> ANABİLİM</w:t>
      </w:r>
      <w:proofErr w:type="gramEnd"/>
      <w:r w:rsidR="006902EF">
        <w:rPr>
          <w:rFonts w:ascii="Times New Roman" w:hAnsi="Times New Roman"/>
          <w:sz w:val="22"/>
          <w:szCs w:val="22"/>
        </w:rPr>
        <w:t xml:space="preserve"> DALI</w:t>
      </w:r>
    </w:p>
    <w:p w:rsidR="006902EF" w:rsidRDefault="006902EF" w:rsidP="006902EF">
      <w:pPr>
        <w:pStyle w:val="GvdeMetni"/>
        <w:ind w:right="-2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DÖNEM </w:t>
      </w:r>
      <w:r w:rsidR="00525695">
        <w:rPr>
          <w:rFonts w:ascii="Times New Roman" w:hAnsi="Times New Roman"/>
          <w:sz w:val="22"/>
          <w:szCs w:val="22"/>
        </w:rPr>
        <w:t xml:space="preserve"> 6 </w:t>
      </w:r>
      <w:r>
        <w:rPr>
          <w:rFonts w:ascii="Times New Roman" w:hAnsi="Times New Roman"/>
          <w:sz w:val="22"/>
          <w:szCs w:val="22"/>
        </w:rPr>
        <w:t>EĞİTİM- UYGULAMA KARNESİ</w:t>
      </w:r>
    </w:p>
    <w:p w:rsidR="006902EF" w:rsidRDefault="006902EF" w:rsidP="006902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</w:rPr>
      </w:pPr>
    </w:p>
    <w:p w:rsidR="006902EF" w:rsidRDefault="006902EF" w:rsidP="00813A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p w:rsidR="00C12247" w:rsidRDefault="00C12247" w:rsidP="00813A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p w:rsidR="006902EF" w:rsidRDefault="006902EF" w:rsidP="00813A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ÖĞRENCİNİN</w:t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Adı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Soyadı</w:t>
      </w:r>
      <w:proofErr w:type="spellEnd"/>
      <w:r>
        <w:rPr>
          <w:rFonts w:ascii="Times New Roman" w:hAnsi="Times New Roman"/>
          <w:sz w:val="22"/>
          <w:szCs w:val="22"/>
        </w:rPr>
        <w:tab/>
        <w:t>:</w:t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Fakülte</w:t>
      </w:r>
      <w:proofErr w:type="spellEnd"/>
      <w:r>
        <w:rPr>
          <w:rFonts w:ascii="Times New Roman" w:hAnsi="Times New Roman"/>
          <w:sz w:val="22"/>
          <w:szCs w:val="22"/>
        </w:rPr>
        <w:t xml:space="preserve"> No</w:t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Öğretim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Yılı</w:t>
      </w:r>
      <w:proofErr w:type="spellEnd"/>
      <w:r>
        <w:rPr>
          <w:rFonts w:ascii="Times New Roman" w:hAnsi="Times New Roman"/>
          <w:sz w:val="22"/>
          <w:szCs w:val="22"/>
        </w:rPr>
        <w:tab/>
        <w:t>:</w:t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tarihi</w:t>
      </w:r>
      <w:proofErr w:type="spellEnd"/>
      <w:r>
        <w:rPr>
          <w:rFonts w:ascii="Times New Roman" w:hAnsi="Times New Roman"/>
          <w:sz w:val="22"/>
          <w:szCs w:val="22"/>
        </w:rPr>
        <w:tab/>
        <w:t>:</w:t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Grubu</w:t>
      </w:r>
      <w:proofErr w:type="spellEnd"/>
      <w:r>
        <w:rPr>
          <w:rFonts w:ascii="Times New Roman" w:hAnsi="Times New Roman"/>
          <w:sz w:val="22"/>
          <w:szCs w:val="22"/>
        </w:rPr>
        <w:tab/>
        <w:t>:</w:t>
      </w:r>
    </w:p>
    <w:p w:rsidR="006902EF" w:rsidRDefault="006902EF" w:rsidP="006902EF">
      <w:pPr>
        <w:pStyle w:val="GvdeMetni"/>
        <w:spacing w:line="360" w:lineRule="auto"/>
        <w:ind w:left="3261" w:right="2792" w:hanging="26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İmza</w:t>
      </w:r>
      <w:proofErr w:type="spellEnd"/>
      <w:r>
        <w:rPr>
          <w:rFonts w:ascii="Times New Roman" w:hAnsi="Times New Roman"/>
          <w:sz w:val="22"/>
          <w:szCs w:val="22"/>
        </w:rPr>
        <w:tab/>
        <w:t>:</w:t>
      </w:r>
    </w:p>
    <w:p w:rsidR="006902EF" w:rsidRDefault="006902EF" w:rsidP="006902EF">
      <w:pPr>
        <w:spacing w:before="7" w:after="1"/>
        <w:rPr>
          <w:rFonts w:ascii="Times New Roman" w:hAnsi="Times New Roman" w:cs="Times New Roman"/>
          <w:b/>
        </w:rPr>
      </w:pPr>
    </w:p>
    <w:p w:rsidR="006902EF" w:rsidRDefault="006902EF" w:rsidP="006902EF">
      <w:pPr>
        <w:spacing w:before="7" w:after="1"/>
        <w:rPr>
          <w:rFonts w:ascii="Times New Roman" w:hAnsi="Times New Roman" w:cs="Times New Roman"/>
          <w:b/>
        </w:rPr>
      </w:pPr>
    </w:p>
    <w:p w:rsidR="00B65BDE" w:rsidRDefault="006902EF" w:rsidP="006902EF">
      <w:pPr>
        <w:spacing w:before="7" w:after="1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AMAÇ: </w:t>
      </w:r>
      <w:r w:rsidR="00933EC0">
        <w:rPr>
          <w:rFonts w:ascii="Times New Roman" w:hAnsi="Times New Roman" w:cs="Times New Roman"/>
          <w:b/>
        </w:rPr>
        <w:t xml:space="preserve"> </w:t>
      </w:r>
    </w:p>
    <w:p w:rsidR="009B176C" w:rsidRDefault="009B176C" w:rsidP="006902EF">
      <w:pPr>
        <w:spacing w:before="7" w:after="1"/>
        <w:ind w:left="709"/>
        <w:rPr>
          <w:rFonts w:ascii="Times New Roman" w:hAnsi="Times New Roman" w:cs="Times New Roman"/>
          <w:b/>
        </w:rPr>
      </w:pPr>
    </w:p>
    <w:p w:rsidR="006902EF" w:rsidRPr="00CF208D" w:rsidRDefault="002D10F9" w:rsidP="009B176C">
      <w:pPr>
        <w:spacing w:before="7" w:after="1"/>
        <w:ind w:left="709" w:firstLine="707"/>
        <w:jc w:val="both"/>
        <w:rPr>
          <w:rFonts w:ascii="Times New Roman" w:hAnsi="Times New Roman" w:cs="Times New Roman"/>
        </w:rPr>
      </w:pPr>
      <w:r w:rsidRPr="00CF208D">
        <w:rPr>
          <w:rFonts w:ascii="Times New Roman" w:hAnsi="Times New Roman" w:cs="Times New Roman"/>
        </w:rPr>
        <w:t xml:space="preserve">Göğüs Hastalıkları Anabilim Dalı </w:t>
      </w:r>
      <w:r w:rsidR="000278D8">
        <w:rPr>
          <w:rFonts w:ascii="Times New Roman" w:hAnsi="Times New Roman" w:cs="Times New Roman"/>
        </w:rPr>
        <w:t>Dönem 6</w:t>
      </w:r>
      <w:r w:rsidRPr="00CF208D">
        <w:rPr>
          <w:rFonts w:ascii="Times New Roman" w:hAnsi="Times New Roman" w:cs="Times New Roman"/>
        </w:rPr>
        <w:t xml:space="preserve"> stajı 3 hafta devam etmektedir.</w:t>
      </w:r>
      <w:r w:rsidR="00CF208D">
        <w:rPr>
          <w:rFonts w:ascii="Times New Roman" w:hAnsi="Times New Roman" w:cs="Times New Roman"/>
        </w:rPr>
        <w:t xml:space="preserve"> </w:t>
      </w:r>
      <w:r w:rsidRPr="00CF208D">
        <w:rPr>
          <w:rFonts w:ascii="Times New Roman" w:hAnsi="Times New Roman" w:cs="Times New Roman"/>
        </w:rPr>
        <w:t>Bu staj</w:t>
      </w:r>
      <w:r w:rsidR="009B176C">
        <w:rPr>
          <w:rFonts w:ascii="Times New Roman" w:hAnsi="Times New Roman" w:cs="Times New Roman"/>
        </w:rPr>
        <w:t xml:space="preserve"> Bolu</w:t>
      </w:r>
      <w:r w:rsidRPr="00CF208D">
        <w:rPr>
          <w:rFonts w:ascii="Times New Roman" w:hAnsi="Times New Roman" w:cs="Times New Roman"/>
        </w:rPr>
        <w:t xml:space="preserve"> İzzet Baysal Eğitim ve Araştırma Hastanesi Göğüs Hastalıkları kliniğinde yatan hastalar ve ayaktan teşhis ve tedavi hizmetleri hastalarına</w:t>
      </w:r>
      <w:r w:rsidR="002C169A">
        <w:rPr>
          <w:rFonts w:ascii="Times New Roman" w:hAnsi="Times New Roman" w:cs="Times New Roman"/>
        </w:rPr>
        <w:t xml:space="preserve"> </w:t>
      </w:r>
      <w:proofErr w:type="gramStart"/>
      <w:r w:rsidR="002C169A">
        <w:rPr>
          <w:rFonts w:ascii="Times New Roman" w:hAnsi="Times New Roman" w:cs="Times New Roman"/>
        </w:rPr>
        <w:t xml:space="preserve">uygun </w:t>
      </w:r>
      <w:r w:rsidR="004423D6" w:rsidRPr="00CF208D">
        <w:rPr>
          <w:rFonts w:ascii="Times New Roman" w:hAnsi="Times New Roman" w:cs="Times New Roman"/>
        </w:rPr>
        <w:t xml:space="preserve"> yaklaşım</w:t>
      </w:r>
      <w:proofErr w:type="gramEnd"/>
      <w:r w:rsidR="004423D6" w:rsidRPr="00CF208D">
        <w:rPr>
          <w:rFonts w:ascii="Times New Roman" w:hAnsi="Times New Roman" w:cs="Times New Roman"/>
        </w:rPr>
        <w:t xml:space="preserve"> gösterilecektir.</w:t>
      </w:r>
      <w:r w:rsidR="00FD0DF2">
        <w:rPr>
          <w:rFonts w:ascii="Times New Roman" w:hAnsi="Times New Roman" w:cs="Times New Roman"/>
        </w:rPr>
        <w:t xml:space="preserve"> </w:t>
      </w:r>
      <w:r w:rsidR="004423D6" w:rsidRPr="00CF208D">
        <w:rPr>
          <w:rFonts w:ascii="Times New Roman" w:hAnsi="Times New Roman" w:cs="Times New Roman"/>
        </w:rPr>
        <w:t xml:space="preserve">Bu staj sonunda Göğüs Hastalıklarında hastaya genel yaklaşım ve pratik </w:t>
      </w:r>
      <w:r w:rsidR="002D437A" w:rsidRPr="00CF208D">
        <w:rPr>
          <w:rFonts w:ascii="Times New Roman" w:hAnsi="Times New Roman" w:cs="Times New Roman"/>
        </w:rPr>
        <w:t xml:space="preserve">teorik </w:t>
      </w:r>
      <w:proofErr w:type="gramStart"/>
      <w:r w:rsidR="002D437A" w:rsidRPr="00CF208D">
        <w:rPr>
          <w:rFonts w:ascii="Times New Roman" w:hAnsi="Times New Roman" w:cs="Times New Roman"/>
        </w:rPr>
        <w:t>öğrenip,ayırıcı</w:t>
      </w:r>
      <w:proofErr w:type="gramEnd"/>
      <w:r w:rsidR="002D437A" w:rsidRPr="00CF208D">
        <w:rPr>
          <w:rFonts w:ascii="Times New Roman" w:hAnsi="Times New Roman" w:cs="Times New Roman"/>
        </w:rPr>
        <w:t xml:space="preserve"> tanı öğretilmesi amaçlanmıştır.</w:t>
      </w:r>
    </w:p>
    <w:p w:rsidR="00933EC0" w:rsidRPr="00933EC0" w:rsidRDefault="00933EC0" w:rsidP="00933EC0">
      <w:pPr>
        <w:spacing w:before="7" w:after="1"/>
        <w:rPr>
          <w:rFonts w:ascii="Times New Roman" w:hAnsi="Times New Roman" w:cs="Times New Roman"/>
        </w:rPr>
      </w:pPr>
    </w:p>
    <w:p w:rsidR="00933EC0" w:rsidRPr="00933EC0" w:rsidRDefault="00933EC0" w:rsidP="00933EC0">
      <w:pPr>
        <w:spacing w:before="7" w:after="1"/>
        <w:rPr>
          <w:rFonts w:ascii="Times New Roman" w:hAnsi="Times New Roman" w:cs="Times New Roman"/>
          <w:b/>
        </w:rPr>
      </w:pPr>
    </w:p>
    <w:p w:rsidR="006902EF" w:rsidRDefault="006902EF" w:rsidP="006902EF">
      <w:pPr>
        <w:spacing w:before="7" w:after="1"/>
        <w:rPr>
          <w:rFonts w:ascii="Times New Roman" w:hAnsi="Times New Roman" w:cs="Times New Roman"/>
          <w:b/>
        </w:rPr>
      </w:pPr>
    </w:p>
    <w:p w:rsidR="00942437" w:rsidRDefault="00C500C7" w:rsidP="00933EC0">
      <w:pPr>
        <w:tabs>
          <w:tab w:val="left" w:pos="5245"/>
        </w:tabs>
        <w:spacing w:line="360" w:lineRule="auto"/>
        <w:ind w:left="142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STAJ </w:t>
      </w:r>
      <w:r w:rsidRPr="00942437">
        <w:rPr>
          <w:rFonts w:ascii="Times New Roman" w:hAnsi="Times New Roman" w:cs="Times New Roman"/>
          <w:b/>
        </w:rPr>
        <w:t xml:space="preserve">ÇALIŞMA </w:t>
      </w:r>
      <w:r>
        <w:rPr>
          <w:rFonts w:ascii="Times New Roman" w:hAnsi="Times New Roman" w:cs="Times New Roman"/>
          <w:b/>
        </w:rPr>
        <w:t>DÜZENİ</w:t>
      </w:r>
      <w:r w:rsidRPr="00942437">
        <w:rPr>
          <w:rFonts w:ascii="Times New Roman" w:hAnsi="Times New Roman" w:cs="Times New Roman"/>
          <w:b/>
        </w:rPr>
        <w:t xml:space="preserve">: </w:t>
      </w:r>
    </w:p>
    <w:p w:rsidR="00612452" w:rsidRDefault="00612452" w:rsidP="00813A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p w:rsidR="005B132B" w:rsidRDefault="00CF208D" w:rsidP="009B176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Stajın ilk günü Göğüs Hastalıkları Kliniği ve polikliniğinin tanıtımı yapılacak ve stajdaki amaçlar </w:t>
      </w:r>
      <w:proofErr w:type="gramStart"/>
      <w:r>
        <w:rPr>
          <w:sz w:val="24"/>
          <w:szCs w:val="24"/>
        </w:rPr>
        <w:t>öğrenci</w:t>
      </w:r>
      <w:r w:rsidR="000148DF">
        <w:rPr>
          <w:sz w:val="24"/>
          <w:szCs w:val="24"/>
        </w:rPr>
        <w:t>lere  anlatılacaktır</w:t>
      </w:r>
      <w:proofErr w:type="gramEnd"/>
      <w:r w:rsidR="000148DF">
        <w:rPr>
          <w:sz w:val="24"/>
          <w:szCs w:val="24"/>
        </w:rPr>
        <w:t>.</w:t>
      </w:r>
      <w:r w:rsidR="009B176C">
        <w:rPr>
          <w:sz w:val="24"/>
          <w:szCs w:val="24"/>
        </w:rPr>
        <w:t xml:space="preserve"> </w:t>
      </w:r>
      <w:r w:rsidR="00465B75">
        <w:rPr>
          <w:sz w:val="24"/>
          <w:szCs w:val="24"/>
        </w:rPr>
        <w:t xml:space="preserve">Hafta içi 9-16 saatleri arasında staj </w:t>
      </w:r>
      <w:proofErr w:type="gramStart"/>
      <w:r w:rsidR="00465B75">
        <w:rPr>
          <w:sz w:val="24"/>
          <w:szCs w:val="24"/>
        </w:rPr>
        <w:t>yapılacak,staj</w:t>
      </w:r>
      <w:proofErr w:type="gramEnd"/>
      <w:r w:rsidR="00465B75">
        <w:rPr>
          <w:sz w:val="24"/>
          <w:szCs w:val="24"/>
        </w:rPr>
        <w:t xml:space="preserve"> grubu klinik,poliklinik</w:t>
      </w:r>
      <w:r w:rsidR="002C169A">
        <w:rPr>
          <w:sz w:val="24"/>
          <w:szCs w:val="24"/>
        </w:rPr>
        <w:t xml:space="preserve"> ve </w:t>
      </w:r>
      <w:proofErr w:type="spellStart"/>
      <w:r w:rsidR="002C169A">
        <w:rPr>
          <w:sz w:val="24"/>
          <w:szCs w:val="24"/>
        </w:rPr>
        <w:t>Bronkoskopi</w:t>
      </w:r>
      <w:proofErr w:type="spellEnd"/>
      <w:r w:rsidR="002C169A">
        <w:rPr>
          <w:sz w:val="24"/>
          <w:szCs w:val="24"/>
        </w:rPr>
        <w:t xml:space="preserve"> - </w:t>
      </w:r>
      <w:proofErr w:type="spellStart"/>
      <w:r w:rsidR="002C169A">
        <w:rPr>
          <w:sz w:val="24"/>
          <w:szCs w:val="24"/>
        </w:rPr>
        <w:t>sft</w:t>
      </w:r>
      <w:proofErr w:type="spellEnd"/>
      <w:r w:rsidR="002C169A">
        <w:rPr>
          <w:sz w:val="24"/>
          <w:szCs w:val="24"/>
        </w:rPr>
        <w:t xml:space="preserve"> olarak dörde </w:t>
      </w:r>
      <w:r w:rsidR="00465B75">
        <w:rPr>
          <w:sz w:val="24"/>
          <w:szCs w:val="24"/>
        </w:rPr>
        <w:t xml:space="preserve"> bölünecek ve herkesin eşit süre ile bu bölümlerde rotasyonu sağlanacaktır.</w:t>
      </w:r>
    </w:p>
    <w:p w:rsidR="009B176C" w:rsidRDefault="009B176C" w:rsidP="009B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465B75" w:rsidRDefault="00465B75" w:rsidP="009B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Çalışma düzeni ve gruplar liste halinde </w:t>
      </w:r>
      <w:proofErr w:type="gramStart"/>
      <w:r>
        <w:rPr>
          <w:sz w:val="24"/>
          <w:szCs w:val="24"/>
        </w:rPr>
        <w:t>belirlenecek ,imza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föyleri</w:t>
      </w:r>
      <w:proofErr w:type="spellEnd"/>
      <w:r>
        <w:rPr>
          <w:sz w:val="24"/>
          <w:szCs w:val="24"/>
        </w:rPr>
        <w:t xml:space="preserve"> sabah 9 akşam 16 saatlerinde çıkarılarak </w:t>
      </w:r>
      <w:proofErr w:type="spellStart"/>
      <w:r>
        <w:rPr>
          <w:sz w:val="24"/>
          <w:szCs w:val="24"/>
        </w:rPr>
        <w:t>stajerlerin</w:t>
      </w:r>
      <w:proofErr w:type="spellEnd"/>
      <w:r>
        <w:rPr>
          <w:sz w:val="24"/>
          <w:szCs w:val="24"/>
        </w:rPr>
        <w:t xml:space="preserve"> düzenli gelip gelmedikleri takip edilecektir.</w:t>
      </w:r>
    </w:p>
    <w:p w:rsidR="009B176C" w:rsidRDefault="009B176C" w:rsidP="009B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465B75" w:rsidRDefault="00465B75" w:rsidP="009B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Öğrenci pratik staj sınavına girebilmesi için belirtilen temel hekimlik uygulamalarının tamamını belirten düzeylerde eksiksiz öğrenmesi ve uygulaması gerekmektedir.</w:t>
      </w:r>
      <w:r w:rsidR="00142D28">
        <w:rPr>
          <w:sz w:val="24"/>
          <w:szCs w:val="24"/>
        </w:rPr>
        <w:t xml:space="preserve"> </w:t>
      </w:r>
      <w:r w:rsidR="0018204B">
        <w:rPr>
          <w:sz w:val="24"/>
          <w:szCs w:val="24"/>
        </w:rPr>
        <w:t>Eksiksiz olarak tamamlanan bu karneyi sınav sırasında sınav jürisine ibraz etmek zorundadır.</w:t>
      </w:r>
    </w:p>
    <w:p w:rsidR="000604BE" w:rsidRDefault="000604BE" w:rsidP="00813A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B132B" w:rsidRDefault="005B132B" w:rsidP="00813A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B132B" w:rsidRPr="00B65BDE" w:rsidRDefault="005B132B" w:rsidP="00813AE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65BDE">
        <w:rPr>
          <w:b/>
          <w:sz w:val="24"/>
          <w:szCs w:val="24"/>
        </w:rPr>
        <w:t>Gönüllü nöbetler</w:t>
      </w:r>
      <w:r w:rsidR="00B65BDE" w:rsidRPr="00B65BDE">
        <w:rPr>
          <w:b/>
          <w:sz w:val="24"/>
          <w:szCs w:val="24"/>
        </w:rPr>
        <w:t xml:space="preserve"> (varsa)</w:t>
      </w:r>
      <w:r w:rsidRPr="00B65BDE">
        <w:rPr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/>
      </w:tblPr>
      <w:tblGrid>
        <w:gridCol w:w="3485"/>
        <w:gridCol w:w="3485"/>
        <w:gridCol w:w="3486"/>
      </w:tblGrid>
      <w:tr w:rsidR="005B132B" w:rsidTr="005B132B"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3485" w:type="dxa"/>
          </w:tcPr>
          <w:p w:rsidR="005B132B" w:rsidRDefault="00B65BDE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</w:t>
            </w:r>
          </w:p>
        </w:tc>
        <w:tc>
          <w:tcPr>
            <w:tcW w:w="3486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lgili gözetmen imza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</w:t>
            </w:r>
          </w:p>
        </w:tc>
      </w:tr>
      <w:tr w:rsidR="005B132B" w:rsidTr="005B132B"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132B" w:rsidTr="005B132B"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132B" w:rsidTr="005B132B"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B132B" w:rsidRDefault="005B132B" w:rsidP="00813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132B" w:rsidRPr="00B65BDE" w:rsidRDefault="005B132B" w:rsidP="00813AE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spellStart"/>
      <w:r w:rsidRPr="00B65BDE">
        <w:rPr>
          <w:b/>
          <w:sz w:val="24"/>
          <w:szCs w:val="24"/>
        </w:rPr>
        <w:t>Vizitte</w:t>
      </w:r>
      <w:proofErr w:type="spellEnd"/>
      <w:r w:rsidRPr="00B65BDE">
        <w:rPr>
          <w:b/>
          <w:sz w:val="24"/>
          <w:szCs w:val="24"/>
        </w:rPr>
        <w:t xml:space="preserve"> hazırladığı-sunduğu dosyalar:</w:t>
      </w:r>
    </w:p>
    <w:tbl>
      <w:tblPr>
        <w:tblStyle w:val="TabloKlavuzu"/>
        <w:tblW w:w="0" w:type="auto"/>
        <w:tblLook w:val="04A0"/>
      </w:tblPr>
      <w:tblGrid>
        <w:gridCol w:w="2616"/>
        <w:gridCol w:w="2635"/>
        <w:gridCol w:w="2464"/>
        <w:gridCol w:w="2741"/>
      </w:tblGrid>
      <w:tr w:rsidR="005B132B" w:rsidTr="005B132B">
        <w:tc>
          <w:tcPr>
            <w:tcW w:w="2616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2635" w:type="dxa"/>
          </w:tcPr>
          <w:p w:rsidR="005B132B" w:rsidRDefault="00B65BDE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B132B">
              <w:rPr>
                <w:sz w:val="24"/>
                <w:szCs w:val="24"/>
              </w:rPr>
              <w:t>ervis</w:t>
            </w:r>
          </w:p>
        </w:tc>
        <w:tc>
          <w:tcPr>
            <w:tcW w:w="2464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41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lgili gözetmen imza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</w:t>
            </w:r>
          </w:p>
        </w:tc>
      </w:tr>
      <w:tr w:rsidR="005B132B" w:rsidTr="005B132B">
        <w:tc>
          <w:tcPr>
            <w:tcW w:w="2616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132B" w:rsidTr="005B132B">
        <w:tc>
          <w:tcPr>
            <w:tcW w:w="2616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132B" w:rsidTr="005B132B">
        <w:tc>
          <w:tcPr>
            <w:tcW w:w="2616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5B132B" w:rsidRDefault="005B132B" w:rsidP="006902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132B" w:rsidRDefault="005B132B" w:rsidP="00813A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5BDE" w:rsidRDefault="00B65BDE" w:rsidP="00813A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F118D" w:rsidRPr="00FF118D" w:rsidRDefault="00FF118D" w:rsidP="00FF118D">
      <w:pPr>
        <w:pStyle w:val="ListeParagraf"/>
        <w:autoSpaceDE w:val="0"/>
        <w:autoSpaceDN w:val="0"/>
        <w:adjustRightInd w:val="0"/>
        <w:spacing w:after="0" w:line="240" w:lineRule="auto"/>
        <w:ind w:left="1125"/>
        <w:rPr>
          <w:rFonts w:ascii="Arial-BoldMT" w:hAnsi="Arial-BoldMT" w:cs="Arial-BoldMT"/>
          <w:b/>
          <w:bCs/>
          <w:color w:val="231F20"/>
        </w:rPr>
      </w:pPr>
    </w:p>
    <w:p w:rsidR="00813AE8" w:rsidRPr="001711AC" w:rsidRDefault="00F0716D" w:rsidP="001711A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  <w:r w:rsidRPr="001711AC">
        <w:rPr>
          <w:rFonts w:ascii="Arial-BoldMT" w:hAnsi="Arial-BoldMT" w:cs="Arial-BoldMT"/>
          <w:b/>
          <w:bCs/>
          <w:color w:val="231F20"/>
        </w:rPr>
        <w:t>Staj boyunca öğreneceği</w:t>
      </w:r>
      <w:r w:rsidR="00813AE8" w:rsidRPr="001711AC">
        <w:rPr>
          <w:rFonts w:ascii="Arial-BoldMT" w:hAnsi="Arial-BoldMT" w:cs="Arial-BoldMT"/>
          <w:b/>
          <w:bCs/>
          <w:color w:val="231F20"/>
        </w:rPr>
        <w:t xml:space="preserve"> </w:t>
      </w:r>
      <w:r w:rsidRPr="001711AC">
        <w:rPr>
          <w:rFonts w:ascii="Arial-BoldMT" w:hAnsi="Arial-BoldMT" w:cs="Arial-BoldMT"/>
          <w:b/>
          <w:bCs/>
          <w:color w:val="231F20"/>
        </w:rPr>
        <w:t>t</w:t>
      </w:r>
      <w:r w:rsidR="00813AE8" w:rsidRPr="001711AC">
        <w:rPr>
          <w:rFonts w:ascii="Arial-BoldMT" w:hAnsi="Arial-BoldMT" w:cs="Arial-BoldMT"/>
          <w:b/>
          <w:bCs/>
          <w:color w:val="231F20"/>
        </w:rPr>
        <w:t>emel Hekimlik Uygulamaları Düzeyler</w:t>
      </w:r>
      <w:r w:rsidR="001711AC" w:rsidRPr="001711AC">
        <w:rPr>
          <w:rFonts w:ascii="Arial-BoldMT" w:hAnsi="Arial-BoldMT" w:cs="Arial-BoldMT"/>
          <w:b/>
          <w:bCs/>
          <w:color w:val="231F20"/>
        </w:rPr>
        <w:t xml:space="preserve"> (UÇEP-2020 Tablo 2.4’den seçilmiştir)</w:t>
      </w:r>
    </w:p>
    <w:p w:rsidR="00F0716D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  <w:rPr>
          <w:rFonts w:ascii="Arial-BoldMT" w:hAnsi="Arial-BoldMT" w:cs="Arial-BoldMT"/>
          <w:b/>
          <w:bCs/>
          <w:color w:val="231F20"/>
        </w:rPr>
      </w:pPr>
    </w:p>
    <w:p w:rsidR="00F0716D" w:rsidRPr="001711AC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</w:pPr>
      <w:r w:rsidRPr="001711AC">
        <w:t xml:space="preserve">Öğrenme Düzeyi Açıklama:  </w:t>
      </w:r>
    </w:p>
    <w:p w:rsidR="00F0716D" w:rsidRPr="001711AC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</w:pPr>
      <w:r w:rsidRPr="001711AC">
        <w:t xml:space="preserve">1 Uygulamanın nasıl yapıldığını bilir ve sonuçlarını hasta ve/ veya yakınlarına açıklar </w:t>
      </w:r>
    </w:p>
    <w:p w:rsidR="00F0716D" w:rsidRPr="001711AC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</w:pPr>
      <w:r w:rsidRPr="001711AC">
        <w:t xml:space="preserve">2 Acil bir durumda kılavuz/yönergeye uygun biçimde uygulamayı yapar </w:t>
      </w:r>
    </w:p>
    <w:p w:rsidR="00F0716D" w:rsidRPr="001711AC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</w:pPr>
      <w:r w:rsidRPr="001711AC">
        <w:t>3 Karmaşık olmayan, sık görülen, durumlarda/olgularda uygulamayı* yapar</w:t>
      </w:r>
    </w:p>
    <w:p w:rsidR="00F0716D" w:rsidRPr="001711AC" w:rsidRDefault="00F0716D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</w:pPr>
      <w:r w:rsidRPr="001711AC">
        <w:t>4 Karmaşık durumlar/olgular da dahil uygulamayı* yapar</w:t>
      </w:r>
    </w:p>
    <w:p w:rsidR="001711AC" w:rsidRPr="00F0716D" w:rsidRDefault="001711AC" w:rsidP="00F0716D">
      <w:pPr>
        <w:pStyle w:val="ListeParagraf"/>
        <w:autoSpaceDE w:val="0"/>
        <w:autoSpaceDN w:val="0"/>
        <w:adjustRightInd w:val="0"/>
        <w:spacing w:after="0" w:line="240" w:lineRule="auto"/>
        <w:ind w:left="1125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3946"/>
        <w:gridCol w:w="774"/>
        <w:gridCol w:w="498"/>
        <w:gridCol w:w="1587"/>
        <w:gridCol w:w="774"/>
        <w:gridCol w:w="2948"/>
      </w:tblGrid>
      <w:tr w:rsidR="001F1300" w:rsidRPr="00EE0ED6" w:rsidTr="00A33FF5">
        <w:trPr>
          <w:cantSplit/>
          <w:trHeight w:val="1134"/>
        </w:trPr>
        <w:tc>
          <w:tcPr>
            <w:tcW w:w="3946" w:type="dxa"/>
            <w:noWrap/>
            <w:hideMark/>
          </w:tcPr>
          <w:p w:rsidR="00F94DFF" w:rsidRDefault="00F94DFF" w:rsidP="00EE0ED6">
            <w:pPr>
              <w:rPr>
                <w:rFonts w:ascii="Arial-BoldMT" w:eastAsia="Times New Roman" w:hAnsi="Arial-BoldMT" w:cs="Arial-BoldMT"/>
                <w:b/>
                <w:bCs/>
                <w:color w:val="231F20"/>
                <w:lang w:eastAsia="tr-TR"/>
              </w:rPr>
            </w:pPr>
            <w:r w:rsidRPr="00EE0ED6">
              <w:rPr>
                <w:rFonts w:ascii="Arial-BoldMT" w:eastAsia="Times New Roman" w:hAnsi="Arial-BoldMT" w:cs="Arial-BoldMT"/>
                <w:b/>
                <w:bCs/>
                <w:color w:val="231F20"/>
                <w:lang w:eastAsia="tr-TR"/>
              </w:rPr>
              <w:t xml:space="preserve">Temel Hekimlik Uygulamaları </w:t>
            </w:r>
          </w:p>
          <w:p w:rsidR="00F94DFF" w:rsidRPr="00EE0ED6" w:rsidRDefault="00F94DFF" w:rsidP="00EE0ED6">
            <w:pPr>
              <w:rPr>
                <w:rFonts w:ascii="Arial-BoldMT" w:eastAsia="Times New Roman" w:hAnsi="Arial-BoldMT" w:cs="Calibri"/>
                <w:b/>
                <w:bCs/>
                <w:color w:val="231F20"/>
                <w:lang w:eastAsia="tr-TR"/>
              </w:rPr>
            </w:pPr>
            <w:r w:rsidRPr="00DB55B4">
              <w:rPr>
                <w:rFonts w:ascii="Arial-BoldMT" w:eastAsia="Times New Roman" w:hAnsi="Arial-BoldMT" w:cs="Arial-BoldMT"/>
                <w:b/>
                <w:bCs/>
                <w:color w:val="231F20"/>
                <w:sz w:val="18"/>
                <w:szCs w:val="18"/>
                <w:lang w:eastAsia="tr-TR"/>
              </w:rPr>
              <w:t>(UÇEP-2020 Tablo2.4</w:t>
            </w:r>
            <w:r>
              <w:rPr>
                <w:rFonts w:ascii="Arial-BoldMT" w:eastAsia="Times New Roman" w:hAnsi="Arial-BoldMT" w:cs="Arial-BoldMT"/>
                <w:b/>
                <w:bCs/>
                <w:color w:val="231F20"/>
                <w:sz w:val="18"/>
                <w:szCs w:val="18"/>
                <w:lang w:eastAsia="tr-TR"/>
              </w:rPr>
              <w:t xml:space="preserve"> </w:t>
            </w:r>
            <w:r w:rsidRPr="00DB55B4">
              <w:rPr>
                <w:rFonts w:ascii="Arial-BoldMT" w:eastAsia="Times New Roman" w:hAnsi="Arial-BoldMT" w:cs="Arial-BoldMT"/>
                <w:b/>
                <w:bCs/>
                <w:color w:val="231F20"/>
                <w:sz w:val="18"/>
                <w:szCs w:val="18"/>
                <w:lang w:eastAsia="tr-TR"/>
              </w:rPr>
              <w:t>den seçilmiştir)</w:t>
            </w:r>
          </w:p>
        </w:tc>
        <w:tc>
          <w:tcPr>
            <w:tcW w:w="774" w:type="dxa"/>
            <w:textDirection w:val="btLr"/>
            <w:hideMark/>
          </w:tcPr>
          <w:p w:rsidR="00F94DFF" w:rsidRPr="00EE0ED6" w:rsidRDefault="00F94DFF" w:rsidP="00F94DFF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Beklenen </w:t>
            </w: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Düzey</w:t>
            </w:r>
          </w:p>
        </w:tc>
        <w:tc>
          <w:tcPr>
            <w:tcW w:w="498" w:type="dxa"/>
            <w:textDirection w:val="btLr"/>
          </w:tcPr>
          <w:p w:rsidR="00F94DFF" w:rsidRDefault="00F94DFF" w:rsidP="001F130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Adet</w:t>
            </w:r>
          </w:p>
        </w:tc>
        <w:tc>
          <w:tcPr>
            <w:tcW w:w="1587" w:type="dxa"/>
            <w:noWrap/>
            <w:vAlign w:val="center"/>
            <w:hideMark/>
          </w:tcPr>
          <w:p w:rsidR="00F94DFF" w:rsidRPr="00EE0ED6" w:rsidRDefault="001F1300" w:rsidP="001F1300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Yeri</w:t>
            </w:r>
          </w:p>
        </w:tc>
        <w:tc>
          <w:tcPr>
            <w:tcW w:w="774" w:type="dxa"/>
            <w:textDirection w:val="btLr"/>
            <w:hideMark/>
          </w:tcPr>
          <w:p w:rsidR="00F94DFF" w:rsidRPr="00EE0ED6" w:rsidRDefault="001F1300" w:rsidP="001F130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r w:rsidR="00F94DFF"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zlem / </w:t>
            </w:r>
            <w:r w:rsidR="00F94DFF"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uygulama </w:t>
            </w:r>
          </w:p>
        </w:tc>
        <w:tc>
          <w:tcPr>
            <w:tcW w:w="2948" w:type="dxa"/>
            <w:noWrap/>
            <w:vAlign w:val="center"/>
            <w:hideMark/>
          </w:tcPr>
          <w:p w:rsidR="00F94DFF" w:rsidRPr="00EE0ED6" w:rsidRDefault="001F1300" w:rsidP="001F1300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r w:rsidR="00F94DFF"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lgili gözetmen imza</w:t>
            </w:r>
            <w:r w:rsidR="00F94DFF">
              <w:rPr>
                <w:rFonts w:ascii="Calibri" w:eastAsia="Times New Roman" w:hAnsi="Calibri" w:cs="Calibri"/>
                <w:color w:val="000000"/>
                <w:lang w:eastAsia="tr-TR"/>
              </w:rPr>
              <w:t>sı</w:t>
            </w: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t>A. Öykü alma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1. Genel ve soruna yönelik öykü alabilme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2. </w:t>
            </w:r>
            <w:proofErr w:type="spellStart"/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Mental</w:t>
            </w:r>
            <w:proofErr w:type="spellEnd"/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durumu değerlendirebilme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3. Psikiyatrik öykü alabilme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t>B. Genel ve soruna yönelik fizik muayene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A33FF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Bilinç değerlendirme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A33FF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2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Genel durum ve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vital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bulguların değerlendirilmesi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D958AB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Solunum sistemi muayenesi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t>C. Kayıt tutma, raporlama ve bildirim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Aydınlatma ve onam alabilme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2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Epikriz hazırlayabilme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Hasta dosyası hazırlayabilme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4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Ölüm belgesi düzenleyebilme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5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Reçete düzenleyebilme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6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Tedaviyi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red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belgesi hazırlayabilme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14E97" w:rsidP="00A77EEA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7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Yasal olarak bildirimi zorunlu </w:t>
            </w:r>
            <w:r w:rsidR="00A77EEA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lastRenderedPageBreak/>
              <w:t xml:space="preserve">hastalıkları ve durumları bildirme ve raporlama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lastRenderedPageBreak/>
              <w:t>D. Laboratuvar testleri ve ilgili diğer işlemler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C2BCD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Direkt radyografileri değerlendirebilme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4C2BCD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2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Laboratuvar inceleme için istek formunu doldurabilme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23A5A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. Laboratuvar örneğini uygun koşullarda alabilme ve laboratuvara ulaştırabilme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23A5A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4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Peak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‐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flow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metre kullanabilme ve değerlendirebilme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t>E. Girişimsel ve girişimsel olmayan uygulamalar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Airway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uygulama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2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Akılcı ilaç kullanımı ilkelerini uygulayabilme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Akılcı laboratuvar ve görüntüleme inceleme istemi yapabilme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4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Arteryal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kan gazı alma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5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. Balon maske (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ambu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) kullanımı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6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El yıkama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7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Entübasyon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yapabilme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B6774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8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Glasgow/AVPU koma </w:t>
            </w:r>
            <w:proofErr w:type="gram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skalasının</w:t>
            </w:r>
            <w:proofErr w:type="gram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değerlendirilebilme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9. Hastadan biyolojik örnek alabilme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8320DC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10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İleri yaşam desteği sağlayabilme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8320DC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11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Kültür için örnek alabilme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8320DC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12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Minimental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durum muayenesi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6440E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Oksijen ve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nebul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‐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inhaler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tedavisi uygulayabilme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6440E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14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Plevral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ponksiyon/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torasentez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yapabilme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6440E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15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PPD testi uygulayabilme ve değerlendirme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6440E7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16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Puls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</w:t>
            </w:r>
            <w:proofErr w:type="spellStart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oksimetre</w:t>
            </w:r>
            <w:proofErr w:type="spellEnd"/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 uygulayabilme ve değerlendirebilme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D64346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17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Solunum fonksiyon testlerini değerlendirebilme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D64346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18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 xml:space="preserve">. Temel yaşam desteği uygulayabilme 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  <w:r w:rsidRPr="00EE0ED6">
              <w:rPr>
                <w:rFonts w:ascii="TrebuchetMS-Bold" w:eastAsia="Times New Roman" w:hAnsi="TrebuchetMS-Bold" w:cs="TrebuchetMS-Bold"/>
                <w:b/>
                <w:bCs/>
                <w:color w:val="231F20"/>
                <w:lang w:eastAsia="tr-TR"/>
              </w:rPr>
              <w:t>G. Bilimsel araştırma ilke ve uygulamaları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rebuchetMS-Bold" w:eastAsia="Times New Roman" w:hAnsi="TrebuchetMS-Bold" w:cs="Calibri"/>
                <w:b/>
                <w:bCs/>
                <w:color w:val="231F20"/>
                <w:lang w:eastAsia="tr-TR"/>
              </w:rPr>
            </w:pP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1. Bilimsel verileri derleyebilme, tablo ve grafiklerle özetleyebilme,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F94DFF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2. Bilimsel verileri uygun yöntemlerle analiz edebilme ve sonuçları yorumlayabilme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4DFF" w:rsidRPr="00EE0ED6" w:rsidTr="00A33FF5">
        <w:trPr>
          <w:trHeight w:val="300"/>
        </w:trPr>
        <w:tc>
          <w:tcPr>
            <w:tcW w:w="3946" w:type="dxa"/>
            <w:noWrap/>
            <w:hideMark/>
          </w:tcPr>
          <w:p w:rsidR="00F94DFF" w:rsidRPr="00EE0ED6" w:rsidRDefault="005C4D05" w:rsidP="00EE0ED6">
            <w:pPr>
              <w:rPr>
                <w:rFonts w:ascii="TrebuchetMS" w:eastAsia="Times New Roman" w:hAnsi="TrebuchetMS" w:cs="Calibri"/>
                <w:color w:val="231F20"/>
                <w:lang w:eastAsia="tr-TR"/>
              </w:rPr>
            </w:pPr>
            <w:r>
              <w:rPr>
                <w:rFonts w:ascii="TrebuchetMS" w:eastAsia="Times New Roman" w:hAnsi="TrebuchetMS" w:cs="TrebuchetMS"/>
                <w:color w:val="231F20"/>
                <w:lang w:eastAsia="tr-TR"/>
              </w:rPr>
              <w:t>3</w:t>
            </w:r>
            <w:r w:rsidR="00F94DFF" w:rsidRPr="00EE0ED6">
              <w:rPr>
                <w:rFonts w:ascii="TrebuchetMS" w:eastAsia="Times New Roman" w:hAnsi="TrebuchetMS" w:cs="TrebuchetMS"/>
                <w:color w:val="231F20"/>
                <w:lang w:eastAsia="tr-TR"/>
              </w:rPr>
              <w:t>. Klinik karar verme sürecinde, kanıta dayalı tıp ilkelerini uygulayabilme</w:t>
            </w: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0ED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98" w:type="dxa"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87" w:type="dxa"/>
            <w:noWrap/>
            <w:hideMark/>
          </w:tcPr>
          <w:p w:rsidR="00F94DFF" w:rsidRPr="00EE0ED6" w:rsidRDefault="00F94DFF" w:rsidP="00EE0ED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4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noWrap/>
            <w:hideMark/>
          </w:tcPr>
          <w:p w:rsidR="00F94DFF" w:rsidRPr="00EE0ED6" w:rsidRDefault="00F94DFF" w:rsidP="00EE0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0716D" w:rsidRDefault="00F0716D" w:rsidP="00813A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p w:rsidR="007474BB" w:rsidRDefault="007474BB" w:rsidP="007474BB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</w:rPr>
      </w:pPr>
    </w:p>
    <w:sectPr w:rsidR="007474BB" w:rsidSect="00171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rebuchetMS-Bold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rebuchetMS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4E8"/>
    <w:multiLevelType w:val="hybridMultilevel"/>
    <w:tmpl w:val="6D560E5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1A14"/>
    <w:multiLevelType w:val="hybridMultilevel"/>
    <w:tmpl w:val="A692E2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5222C"/>
    <w:multiLevelType w:val="hybridMultilevel"/>
    <w:tmpl w:val="DE2E4EA4"/>
    <w:lvl w:ilvl="0" w:tplc="32C87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BC40C8"/>
    <w:multiLevelType w:val="hybridMultilevel"/>
    <w:tmpl w:val="DECA6DE8"/>
    <w:lvl w:ilvl="0" w:tplc="32C876F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D682FC3"/>
    <w:multiLevelType w:val="hybridMultilevel"/>
    <w:tmpl w:val="1FAED3D8"/>
    <w:lvl w:ilvl="0" w:tplc="6928A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22A3B"/>
    <w:multiLevelType w:val="hybridMultilevel"/>
    <w:tmpl w:val="FB78D0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4FF4"/>
    <w:multiLevelType w:val="hybridMultilevel"/>
    <w:tmpl w:val="EEFA92E8"/>
    <w:lvl w:ilvl="0" w:tplc="27F8D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AE8"/>
    <w:rsid w:val="000148DF"/>
    <w:rsid w:val="000278D8"/>
    <w:rsid w:val="00040B2F"/>
    <w:rsid w:val="00051DBD"/>
    <w:rsid w:val="000604BE"/>
    <w:rsid w:val="000F0F4B"/>
    <w:rsid w:val="00142D28"/>
    <w:rsid w:val="001711AC"/>
    <w:rsid w:val="0018204B"/>
    <w:rsid w:val="001F1300"/>
    <w:rsid w:val="002620E0"/>
    <w:rsid w:val="002678E3"/>
    <w:rsid w:val="002C169A"/>
    <w:rsid w:val="002D10F9"/>
    <w:rsid w:val="002D437A"/>
    <w:rsid w:val="002F52A0"/>
    <w:rsid w:val="0038596E"/>
    <w:rsid w:val="00414E97"/>
    <w:rsid w:val="004337D8"/>
    <w:rsid w:val="004423D6"/>
    <w:rsid w:val="00465B75"/>
    <w:rsid w:val="00467D08"/>
    <w:rsid w:val="004C2BCD"/>
    <w:rsid w:val="00525695"/>
    <w:rsid w:val="0056773E"/>
    <w:rsid w:val="005B132B"/>
    <w:rsid w:val="005C4D05"/>
    <w:rsid w:val="00612452"/>
    <w:rsid w:val="006250C9"/>
    <w:rsid w:val="006440E7"/>
    <w:rsid w:val="00687F2F"/>
    <w:rsid w:val="006902EF"/>
    <w:rsid w:val="006A204F"/>
    <w:rsid w:val="007474BB"/>
    <w:rsid w:val="00752011"/>
    <w:rsid w:val="00791EFB"/>
    <w:rsid w:val="00813AD9"/>
    <w:rsid w:val="00813AE8"/>
    <w:rsid w:val="00816E30"/>
    <w:rsid w:val="008320DC"/>
    <w:rsid w:val="008D70CE"/>
    <w:rsid w:val="00922E94"/>
    <w:rsid w:val="00933EC0"/>
    <w:rsid w:val="00942437"/>
    <w:rsid w:val="009A4869"/>
    <w:rsid w:val="009B176C"/>
    <w:rsid w:val="00A33FF5"/>
    <w:rsid w:val="00A77EEA"/>
    <w:rsid w:val="00B44EA1"/>
    <w:rsid w:val="00B65BDE"/>
    <w:rsid w:val="00B67745"/>
    <w:rsid w:val="00BF193A"/>
    <w:rsid w:val="00C11635"/>
    <w:rsid w:val="00C12247"/>
    <w:rsid w:val="00C500C7"/>
    <w:rsid w:val="00CD6894"/>
    <w:rsid w:val="00CF208D"/>
    <w:rsid w:val="00D002D2"/>
    <w:rsid w:val="00D64346"/>
    <w:rsid w:val="00D72F38"/>
    <w:rsid w:val="00D942A5"/>
    <w:rsid w:val="00D958AB"/>
    <w:rsid w:val="00DB55B4"/>
    <w:rsid w:val="00EE0ED6"/>
    <w:rsid w:val="00F0716D"/>
    <w:rsid w:val="00F23A5A"/>
    <w:rsid w:val="00F94DFF"/>
    <w:rsid w:val="00FD0DF2"/>
    <w:rsid w:val="00FD5A5E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2452"/>
    <w:pPr>
      <w:ind w:left="720"/>
      <w:contextualSpacing/>
    </w:pPr>
  </w:style>
  <w:style w:type="table" w:styleId="TabloKlavuzu">
    <w:name w:val="Table Grid"/>
    <w:basedOn w:val="NormalTablo"/>
    <w:uiPriority w:val="39"/>
    <w:rsid w:val="00F0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4B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902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902EF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B90C7-2ABD-4275-B421-1E7F3932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Alışık</dc:creator>
  <cp:lastModifiedBy>Win7</cp:lastModifiedBy>
  <cp:revision>37</cp:revision>
  <cp:lastPrinted>2022-02-16T08:09:00Z</cp:lastPrinted>
  <dcterms:created xsi:type="dcterms:W3CDTF">2022-02-16T06:44:00Z</dcterms:created>
  <dcterms:modified xsi:type="dcterms:W3CDTF">2022-04-25T08:38:00Z</dcterms:modified>
</cp:coreProperties>
</file>